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4514"/>
        <w:gridCol w:w="4558"/>
      </w:tblGrid>
      <w:tr w:rsidR="00ED32D7" w:rsidRPr="00ED32D7" w14:paraId="3D781C61" w14:textId="77777777" w:rsidTr="00ED32D7">
        <w:trPr>
          <w:gridAfter w:val="1"/>
          <w:wAfter w:w="4818" w:type="dxa"/>
        </w:trPr>
        <w:tc>
          <w:tcPr>
            <w:tcW w:w="4818" w:type="dxa"/>
            <w:tcMar>
              <w:top w:w="0" w:type="dxa"/>
              <w:left w:w="108" w:type="dxa"/>
              <w:bottom w:w="0" w:type="dxa"/>
              <w:right w:w="108" w:type="dxa"/>
            </w:tcMar>
            <w:hideMark/>
          </w:tcPr>
          <w:p w14:paraId="0E21B060"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caps/>
                <w:lang w:val="nl-NL" w:eastAsia="nl-BE"/>
              </w:rPr>
              <w:t>COMMISSIE VOOR SOCIALE ZAKEN, WERK EN PENSIOENEN</w:t>
            </w:r>
          </w:p>
        </w:tc>
      </w:tr>
      <w:tr w:rsidR="00ED32D7" w:rsidRPr="00ED32D7" w14:paraId="74A9D9EE" w14:textId="77777777" w:rsidTr="00ED32D7">
        <w:tc>
          <w:tcPr>
            <w:tcW w:w="4818" w:type="dxa"/>
            <w:tcMar>
              <w:top w:w="0" w:type="dxa"/>
              <w:left w:w="108" w:type="dxa"/>
              <w:bottom w:w="0" w:type="dxa"/>
              <w:right w:w="108" w:type="dxa"/>
            </w:tcMar>
            <w:hideMark/>
          </w:tcPr>
          <w:p w14:paraId="43E59658"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nl-NL" w:eastAsia="nl-BE"/>
              </w:rPr>
              <w:t> </w:t>
            </w:r>
          </w:p>
          <w:p w14:paraId="59C59764"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fr-FR" w:eastAsia="nl-BE"/>
              </w:rPr>
              <w:t>du</w:t>
            </w:r>
          </w:p>
          <w:p w14:paraId="0C4DC6FA"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fr-FR" w:eastAsia="nl-BE"/>
              </w:rPr>
              <w:t> </w:t>
            </w:r>
          </w:p>
          <w:p w14:paraId="1ED70AA9"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caps/>
                <w:lang w:val="fr-FR" w:eastAsia="nl-BE"/>
              </w:rPr>
              <w:t>MERCREDI </w:t>
            </w:r>
            <w:r w:rsidRPr="00ED32D7">
              <w:rPr>
                <w:rFonts w:eastAsia="Times New Roman" w:cs="Arial"/>
                <w:lang w:val="fr-FR" w:eastAsia="nl-BE"/>
              </w:rPr>
              <w:t>22 </w:t>
            </w:r>
            <w:r w:rsidRPr="00ED32D7">
              <w:rPr>
                <w:rFonts w:eastAsia="Times New Roman" w:cs="Arial"/>
                <w:caps/>
                <w:lang w:val="fr-FR" w:eastAsia="nl-BE"/>
              </w:rPr>
              <w:t>SEPTEMBRE </w:t>
            </w:r>
            <w:r w:rsidRPr="00ED32D7">
              <w:rPr>
                <w:rFonts w:eastAsia="Times New Roman" w:cs="Arial"/>
                <w:lang w:val="fr-FR" w:eastAsia="nl-BE"/>
              </w:rPr>
              <w:t>2021</w:t>
            </w:r>
          </w:p>
          <w:p w14:paraId="3AC0C4D2"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fr-FR" w:eastAsia="nl-BE"/>
              </w:rPr>
              <w:t> </w:t>
            </w:r>
          </w:p>
          <w:p w14:paraId="104B7473" w14:textId="77777777" w:rsidR="00ED32D7" w:rsidRPr="00ED32D7" w:rsidRDefault="00ED32D7" w:rsidP="00ED32D7">
            <w:pPr>
              <w:spacing w:after="0" w:line="240" w:lineRule="auto"/>
              <w:jc w:val="center"/>
              <w:rPr>
                <w:rFonts w:eastAsia="Times New Roman" w:cs="Arial"/>
                <w:lang w:eastAsia="nl-BE"/>
              </w:rPr>
            </w:pPr>
            <w:proofErr w:type="spellStart"/>
            <w:r w:rsidRPr="00ED32D7">
              <w:rPr>
                <w:rFonts w:eastAsia="Times New Roman" w:cs="Arial"/>
                <w:lang w:val="nl-NL" w:eastAsia="nl-BE"/>
              </w:rPr>
              <w:t>Après</w:t>
            </w:r>
            <w:proofErr w:type="spellEnd"/>
            <w:r w:rsidRPr="00ED32D7">
              <w:rPr>
                <w:rFonts w:eastAsia="Times New Roman" w:cs="Arial"/>
                <w:lang w:val="nl-NL" w:eastAsia="nl-BE"/>
              </w:rPr>
              <w:t>-midi</w:t>
            </w:r>
          </w:p>
          <w:p w14:paraId="39BF102F"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nl-NL" w:eastAsia="nl-BE"/>
              </w:rPr>
              <w:t> </w:t>
            </w:r>
          </w:p>
          <w:p w14:paraId="71DC9B96"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nl-NL" w:eastAsia="nl-BE"/>
              </w:rPr>
              <w:t>______</w:t>
            </w:r>
          </w:p>
          <w:p w14:paraId="3749B265"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eastAsia="nl-BE"/>
              </w:rPr>
              <w:t> </w:t>
            </w:r>
          </w:p>
        </w:tc>
        <w:tc>
          <w:tcPr>
            <w:tcW w:w="4818" w:type="dxa"/>
            <w:tcMar>
              <w:top w:w="0" w:type="dxa"/>
              <w:left w:w="108" w:type="dxa"/>
              <w:bottom w:w="0" w:type="dxa"/>
              <w:right w:w="108" w:type="dxa"/>
            </w:tcMar>
            <w:hideMark/>
          </w:tcPr>
          <w:p w14:paraId="214D8B8F"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nl-NL" w:eastAsia="nl-BE"/>
              </w:rPr>
              <w:t> </w:t>
            </w:r>
          </w:p>
          <w:p w14:paraId="36EFAFA3"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nl-NL" w:eastAsia="nl-BE"/>
              </w:rPr>
              <w:t>van</w:t>
            </w:r>
          </w:p>
          <w:p w14:paraId="2431CD05"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nl-NL" w:eastAsia="nl-BE"/>
              </w:rPr>
              <w:t> </w:t>
            </w:r>
          </w:p>
          <w:p w14:paraId="2592F343"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caps/>
                <w:lang w:val="nl-NL" w:eastAsia="nl-BE"/>
              </w:rPr>
              <w:t>WOENSDAG </w:t>
            </w:r>
            <w:r w:rsidRPr="00ED32D7">
              <w:rPr>
                <w:rFonts w:eastAsia="Times New Roman" w:cs="Arial"/>
                <w:lang w:val="nl-NL" w:eastAsia="nl-BE"/>
              </w:rPr>
              <w:t>22 </w:t>
            </w:r>
            <w:r w:rsidRPr="00ED32D7">
              <w:rPr>
                <w:rFonts w:eastAsia="Times New Roman" w:cs="Arial"/>
                <w:caps/>
                <w:lang w:val="nl-NL" w:eastAsia="nl-BE"/>
              </w:rPr>
              <w:t>SEPTEMBER </w:t>
            </w:r>
            <w:r w:rsidRPr="00ED32D7">
              <w:rPr>
                <w:rFonts w:eastAsia="Times New Roman" w:cs="Arial"/>
                <w:lang w:val="nl-NL" w:eastAsia="nl-BE"/>
              </w:rPr>
              <w:t>2021</w:t>
            </w:r>
          </w:p>
          <w:p w14:paraId="118B1EE5"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nl-NL" w:eastAsia="nl-BE"/>
              </w:rPr>
              <w:t> </w:t>
            </w:r>
          </w:p>
          <w:p w14:paraId="212CEA98" w14:textId="77777777" w:rsidR="00ED32D7" w:rsidRPr="00ED32D7" w:rsidRDefault="00ED32D7" w:rsidP="00ED32D7">
            <w:pPr>
              <w:spacing w:after="0" w:line="240" w:lineRule="auto"/>
              <w:jc w:val="center"/>
              <w:rPr>
                <w:rFonts w:eastAsia="Times New Roman" w:cs="Arial"/>
                <w:lang w:eastAsia="nl-BE"/>
              </w:rPr>
            </w:pPr>
            <w:proofErr w:type="spellStart"/>
            <w:r w:rsidRPr="00ED32D7">
              <w:rPr>
                <w:rFonts w:eastAsia="Times New Roman" w:cs="Arial"/>
                <w:lang w:val="fr-FR" w:eastAsia="nl-BE"/>
              </w:rPr>
              <w:t>Namiddag</w:t>
            </w:r>
            <w:proofErr w:type="spellEnd"/>
          </w:p>
          <w:p w14:paraId="533093EC"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fr-FR" w:eastAsia="nl-BE"/>
              </w:rPr>
              <w:t> </w:t>
            </w:r>
          </w:p>
          <w:p w14:paraId="09A7A240"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val="fr-FR" w:eastAsia="nl-BE"/>
              </w:rPr>
              <w:t>______</w:t>
            </w:r>
          </w:p>
          <w:p w14:paraId="7F0818BC" w14:textId="77777777" w:rsidR="00ED32D7" w:rsidRPr="00ED32D7" w:rsidRDefault="00ED32D7" w:rsidP="00ED32D7">
            <w:pPr>
              <w:spacing w:after="0" w:line="240" w:lineRule="auto"/>
              <w:jc w:val="center"/>
              <w:rPr>
                <w:rFonts w:eastAsia="Times New Roman" w:cs="Arial"/>
                <w:lang w:eastAsia="nl-BE"/>
              </w:rPr>
            </w:pPr>
            <w:r w:rsidRPr="00ED32D7">
              <w:rPr>
                <w:rFonts w:eastAsia="Times New Roman" w:cs="Arial"/>
                <w:lang w:eastAsia="nl-BE"/>
              </w:rPr>
              <w:t> </w:t>
            </w:r>
          </w:p>
        </w:tc>
      </w:tr>
    </w:tbl>
    <w:p w14:paraId="331A868F"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val="fr-FR" w:eastAsia="nl-BE"/>
        </w:rPr>
        <w:t> </w:t>
      </w:r>
    </w:p>
    <w:p w14:paraId="1BA8E29C" w14:textId="77777777" w:rsidR="00ED32D7" w:rsidRPr="00ED32D7" w:rsidRDefault="00ED32D7" w:rsidP="00ED32D7">
      <w:pPr>
        <w:spacing w:after="0" w:line="240" w:lineRule="auto"/>
        <w:rPr>
          <w:rFonts w:eastAsia="Times New Roman" w:cs="Times New Roman"/>
          <w:lang w:eastAsia="nl-BE"/>
        </w:rPr>
      </w:pPr>
      <w:r w:rsidRPr="00ED32D7">
        <w:rPr>
          <w:rFonts w:eastAsia="Times New Roman" w:cs="Arial"/>
          <w:color w:val="000000"/>
          <w:lang w:val="fr-FR" w:eastAsia="nl-BE"/>
        </w:rPr>
        <w:br w:type="textWrapping" w:clear="all"/>
      </w:r>
    </w:p>
    <w:p w14:paraId="390A392A"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val="fr-FR" w:eastAsia="nl-BE"/>
        </w:rPr>
        <w:t>Le développement des questions et interpellations commence à 15 h 08. La réunion est présidée par Mme Marie-Colline Leroy.</w:t>
      </w:r>
    </w:p>
    <w:p w14:paraId="583FC677"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De behandeling van de vragen en interpellaties vangt aan om 15.08 uur. De vergadering wordt voorgezeten door mevrouw Marie-</w:t>
      </w:r>
      <w:proofErr w:type="spellStart"/>
      <w:r w:rsidRPr="00ED32D7">
        <w:rPr>
          <w:rFonts w:eastAsia="Times New Roman" w:cs="Arial"/>
          <w:color w:val="000000"/>
          <w:lang w:eastAsia="nl-BE"/>
        </w:rPr>
        <w:t>Colline</w:t>
      </w:r>
      <w:proofErr w:type="spellEnd"/>
      <w:r w:rsidRPr="00ED32D7">
        <w:rPr>
          <w:rFonts w:eastAsia="Times New Roman" w:cs="Arial"/>
          <w:color w:val="000000"/>
          <w:lang w:eastAsia="nl-BE"/>
        </w:rPr>
        <w:t xml:space="preserve"> Leroy.</w:t>
      </w:r>
    </w:p>
    <w:p w14:paraId="21ADA4A4" w14:textId="77777777" w:rsidR="00ED32D7" w:rsidRPr="00ED32D7" w:rsidRDefault="00ED32D7" w:rsidP="00ED32D7">
      <w:pPr>
        <w:spacing w:after="0" w:line="240" w:lineRule="auto"/>
        <w:rPr>
          <w:rFonts w:eastAsia="Times New Roman" w:cs="Arial"/>
          <w:color w:val="000000"/>
          <w:lang w:eastAsia="nl-BE"/>
        </w:rPr>
      </w:pPr>
      <w:r w:rsidRPr="00ED32D7">
        <w:rPr>
          <w:rFonts w:eastAsia="Times New Roman" w:cs="Arial"/>
          <w:color w:val="000000"/>
          <w:lang w:val="nl-NL" w:eastAsia="nl-BE"/>
        </w:rPr>
        <w:t> </w:t>
      </w:r>
    </w:p>
    <w:p w14:paraId="1D91E027" w14:textId="77777777" w:rsidR="00ED32D7" w:rsidRPr="00ED32D7" w:rsidRDefault="00ED32D7" w:rsidP="00ED32D7">
      <w:pPr>
        <w:spacing w:after="0" w:line="240" w:lineRule="auto"/>
        <w:jc w:val="both"/>
        <w:rPr>
          <w:rFonts w:eastAsia="Times New Roman" w:cs="Arial"/>
          <w:i/>
          <w:iCs/>
          <w:color w:val="000000"/>
          <w:lang w:eastAsia="nl-BE"/>
        </w:rPr>
      </w:pPr>
      <w:r w:rsidRPr="00ED32D7">
        <w:rPr>
          <w:rFonts w:eastAsia="Times New Roman" w:cs="Arial"/>
          <w:i/>
          <w:iCs/>
          <w:color w:val="000000"/>
          <w:lang w:val="fr-BE" w:eastAsia="nl-BE"/>
        </w:rPr>
        <w:t>Les textes figurant en italique dans le Compte rendu intégral n’ont pas été prononcés et sont la reproduction exacte des textes déposés par les auteurs.</w:t>
      </w:r>
    </w:p>
    <w:p w14:paraId="0050F0F8" w14:textId="77777777" w:rsidR="00ED32D7" w:rsidRPr="00ED32D7" w:rsidRDefault="00ED32D7" w:rsidP="00ED32D7">
      <w:pPr>
        <w:spacing w:after="0" w:line="240" w:lineRule="auto"/>
        <w:jc w:val="both"/>
        <w:rPr>
          <w:rFonts w:eastAsia="Times New Roman" w:cs="Arial"/>
          <w:i/>
          <w:iCs/>
          <w:color w:val="000000"/>
          <w:lang w:eastAsia="nl-BE"/>
        </w:rPr>
      </w:pPr>
      <w:r w:rsidRPr="00ED32D7">
        <w:rPr>
          <w:rFonts w:eastAsia="Times New Roman" w:cs="Arial"/>
          <w:i/>
          <w:iCs/>
          <w:color w:val="000000"/>
          <w:lang w:val="nl-NL" w:eastAsia="nl-BE"/>
        </w:rPr>
        <w:t>De teksten die in cursief zijn opgenomen in het Integraal Verslag werden niet uitgesproken en steunen uitsluitend op de tekst die de spreker heeft ingediend.</w:t>
      </w:r>
    </w:p>
    <w:p w14:paraId="3C39016F" w14:textId="77777777" w:rsidR="00ED32D7" w:rsidRPr="00ED32D7" w:rsidRDefault="00ED32D7" w:rsidP="00ED32D7">
      <w:pPr>
        <w:spacing w:after="0" w:line="240" w:lineRule="auto"/>
        <w:rPr>
          <w:rFonts w:eastAsia="Times New Roman" w:cs="Arial"/>
          <w:color w:val="000000"/>
          <w:lang w:eastAsia="nl-BE"/>
        </w:rPr>
      </w:pPr>
      <w:r w:rsidRPr="00ED32D7">
        <w:rPr>
          <w:rFonts w:eastAsia="Times New Roman" w:cs="Arial"/>
          <w:color w:val="000000"/>
          <w:lang w:val="nl-NL" w:eastAsia="nl-BE"/>
        </w:rPr>
        <w:t> </w:t>
      </w:r>
    </w:p>
    <w:p w14:paraId="71F8C0A9" w14:textId="77777777" w:rsidR="00ED32D7" w:rsidRPr="00ED32D7" w:rsidRDefault="00ED32D7" w:rsidP="00ED32D7">
      <w:pPr>
        <w:spacing w:after="0" w:line="240" w:lineRule="auto"/>
        <w:jc w:val="both"/>
        <w:rPr>
          <w:rFonts w:eastAsia="Times New Roman" w:cs="Arial"/>
          <w:b/>
          <w:bCs/>
          <w:color w:val="000000"/>
          <w:spacing w:val="-2"/>
          <w:lang w:val="en-GB" w:eastAsia="nl-BE"/>
        </w:rPr>
      </w:pPr>
      <w:bookmarkStart w:id="0" w:name="QNF02"/>
      <w:bookmarkStart w:id="1" w:name="_Toc83230815"/>
      <w:bookmarkStart w:id="2" w:name="_Toc83230962"/>
      <w:bookmarkStart w:id="3" w:name="T003"/>
      <w:bookmarkEnd w:id="0"/>
      <w:bookmarkEnd w:id="1"/>
      <w:bookmarkEnd w:id="2"/>
      <w:bookmarkEnd w:id="3"/>
      <w:r w:rsidRPr="00ED32D7">
        <w:rPr>
          <w:rFonts w:eastAsia="Times New Roman" w:cs="Arial"/>
          <w:b/>
          <w:bCs/>
          <w:color w:val="000000"/>
          <w:spacing w:val="-2"/>
          <w:lang w:val="fr-FR" w:eastAsia="nl-BE"/>
        </w:rPr>
        <w:t>01 Questions jointes de</w:t>
      </w:r>
    </w:p>
    <w:p w14:paraId="6F040A9A" w14:textId="77777777" w:rsidR="00ED32D7" w:rsidRPr="00ED32D7" w:rsidRDefault="00ED32D7" w:rsidP="00ED32D7">
      <w:pPr>
        <w:spacing w:after="0" w:line="240" w:lineRule="auto"/>
        <w:jc w:val="both"/>
        <w:rPr>
          <w:rFonts w:eastAsia="Times New Roman" w:cs="Arial"/>
          <w:b/>
          <w:bCs/>
          <w:color w:val="000000"/>
          <w:spacing w:val="-2"/>
          <w:lang w:val="en-GB" w:eastAsia="nl-BE"/>
        </w:rPr>
      </w:pPr>
      <w:bookmarkStart w:id="4" w:name="_Toc83230816"/>
      <w:bookmarkStart w:id="5" w:name="_Toc83230963"/>
      <w:bookmarkEnd w:id="4"/>
      <w:r w:rsidRPr="00ED32D7">
        <w:rPr>
          <w:rFonts w:eastAsia="Times New Roman" w:cs="Arial"/>
          <w:b/>
          <w:bCs/>
          <w:color w:val="000000"/>
          <w:spacing w:val="-2"/>
          <w:lang w:val="fr-FR" w:eastAsia="nl-BE"/>
        </w:rPr>
        <w:t xml:space="preserve">- Sophie </w:t>
      </w:r>
      <w:proofErr w:type="spellStart"/>
      <w:r w:rsidRPr="00ED32D7">
        <w:rPr>
          <w:rFonts w:eastAsia="Times New Roman" w:cs="Arial"/>
          <w:b/>
          <w:bCs/>
          <w:color w:val="000000"/>
          <w:spacing w:val="-2"/>
          <w:lang w:val="fr-FR" w:eastAsia="nl-BE"/>
        </w:rPr>
        <w:t>Thémont</w:t>
      </w:r>
      <w:proofErr w:type="spellEnd"/>
      <w:r w:rsidRPr="00ED32D7">
        <w:rPr>
          <w:rFonts w:eastAsia="Times New Roman" w:cs="Arial"/>
          <w:b/>
          <w:bCs/>
          <w:color w:val="000000"/>
          <w:spacing w:val="-2"/>
          <w:lang w:val="fr-FR" w:eastAsia="nl-BE"/>
        </w:rPr>
        <w:t xml:space="preserve"> à Frank </w:t>
      </w:r>
      <w:proofErr w:type="spellStart"/>
      <w:r w:rsidRPr="00ED32D7">
        <w:rPr>
          <w:rFonts w:eastAsia="Times New Roman" w:cs="Arial"/>
          <w:b/>
          <w:bCs/>
          <w:color w:val="000000"/>
          <w:spacing w:val="-2"/>
          <w:lang w:val="fr-FR" w:eastAsia="nl-BE"/>
        </w:rPr>
        <w:t>Vandenbroucke</w:t>
      </w:r>
      <w:proofErr w:type="spellEnd"/>
      <w:r w:rsidRPr="00ED32D7">
        <w:rPr>
          <w:rFonts w:eastAsia="Times New Roman" w:cs="Arial"/>
          <w:b/>
          <w:bCs/>
          <w:color w:val="000000"/>
          <w:spacing w:val="-2"/>
          <w:lang w:val="fr-FR" w:eastAsia="nl-BE"/>
        </w:rPr>
        <w:t xml:space="preserve"> (VPM Affaires sociales et Santé publique) sur "Le télétravail des transfrontaliers" (55019924C)</w:t>
      </w:r>
      <w:bookmarkEnd w:id="5"/>
    </w:p>
    <w:p w14:paraId="0917B5DA" w14:textId="77777777" w:rsidR="00ED32D7" w:rsidRPr="00ED32D7" w:rsidRDefault="00ED32D7" w:rsidP="00ED32D7">
      <w:pPr>
        <w:spacing w:after="0" w:line="240" w:lineRule="auto"/>
        <w:jc w:val="both"/>
        <w:rPr>
          <w:rFonts w:eastAsia="Times New Roman" w:cs="Arial"/>
          <w:b/>
          <w:bCs/>
          <w:color w:val="000000"/>
          <w:spacing w:val="-2"/>
          <w:lang w:val="en-GB" w:eastAsia="nl-BE"/>
        </w:rPr>
      </w:pPr>
      <w:bookmarkStart w:id="6" w:name="_Toc83230817"/>
      <w:bookmarkStart w:id="7" w:name="_Toc83230964"/>
      <w:bookmarkEnd w:id="6"/>
      <w:r w:rsidRPr="00ED32D7">
        <w:rPr>
          <w:rFonts w:eastAsia="Times New Roman" w:cs="Arial"/>
          <w:b/>
          <w:bCs/>
          <w:color w:val="000000"/>
          <w:spacing w:val="-2"/>
          <w:lang w:val="fr-FR" w:eastAsia="nl-BE"/>
        </w:rPr>
        <w:t xml:space="preserve">- Anja </w:t>
      </w:r>
      <w:proofErr w:type="spellStart"/>
      <w:r w:rsidRPr="00ED32D7">
        <w:rPr>
          <w:rFonts w:eastAsia="Times New Roman" w:cs="Arial"/>
          <w:b/>
          <w:bCs/>
          <w:color w:val="000000"/>
          <w:spacing w:val="-2"/>
          <w:lang w:val="fr-FR" w:eastAsia="nl-BE"/>
        </w:rPr>
        <w:t>Vanrobaeys</w:t>
      </w:r>
      <w:proofErr w:type="spellEnd"/>
      <w:r w:rsidRPr="00ED32D7">
        <w:rPr>
          <w:rFonts w:eastAsia="Times New Roman" w:cs="Arial"/>
          <w:b/>
          <w:bCs/>
          <w:color w:val="000000"/>
          <w:spacing w:val="-2"/>
          <w:lang w:val="fr-FR" w:eastAsia="nl-BE"/>
        </w:rPr>
        <w:t xml:space="preserve"> à Frank </w:t>
      </w:r>
      <w:proofErr w:type="spellStart"/>
      <w:r w:rsidRPr="00ED32D7">
        <w:rPr>
          <w:rFonts w:eastAsia="Times New Roman" w:cs="Arial"/>
          <w:b/>
          <w:bCs/>
          <w:color w:val="000000"/>
          <w:spacing w:val="-2"/>
          <w:lang w:val="fr-FR" w:eastAsia="nl-BE"/>
        </w:rPr>
        <w:t>Vandenbroucke</w:t>
      </w:r>
      <w:proofErr w:type="spellEnd"/>
      <w:r w:rsidRPr="00ED32D7">
        <w:rPr>
          <w:rFonts w:eastAsia="Times New Roman" w:cs="Arial"/>
          <w:b/>
          <w:bCs/>
          <w:color w:val="000000"/>
          <w:spacing w:val="-2"/>
          <w:lang w:val="fr-FR" w:eastAsia="nl-BE"/>
        </w:rPr>
        <w:t xml:space="preserve"> (VPM Affaires sociales et Santé publique) sur "Le télétravail frontalier" (55020460C)</w:t>
      </w:r>
      <w:bookmarkEnd w:id="7"/>
    </w:p>
    <w:p w14:paraId="6DA82211" w14:textId="77777777" w:rsidR="00ED32D7" w:rsidRPr="00ED32D7" w:rsidRDefault="00ED32D7" w:rsidP="00ED32D7">
      <w:pPr>
        <w:spacing w:after="0" w:line="240" w:lineRule="auto"/>
        <w:jc w:val="both"/>
        <w:rPr>
          <w:rFonts w:eastAsia="Times New Roman" w:cs="Arial"/>
          <w:b/>
          <w:bCs/>
          <w:color w:val="000000"/>
          <w:spacing w:val="-2"/>
          <w:lang w:eastAsia="nl-BE"/>
        </w:rPr>
      </w:pPr>
      <w:bookmarkStart w:id="8" w:name="_Toc83230836"/>
      <w:bookmarkStart w:id="9" w:name="_Toc83231088"/>
      <w:bookmarkEnd w:id="8"/>
      <w:r w:rsidRPr="00ED32D7">
        <w:rPr>
          <w:rFonts w:eastAsia="Times New Roman" w:cs="Arial"/>
          <w:b/>
          <w:bCs/>
          <w:color w:val="000000"/>
          <w:spacing w:val="-2"/>
          <w:lang w:val="nl-NL" w:eastAsia="nl-BE"/>
        </w:rPr>
        <w:t>01 Samengevoegde vragen van</w:t>
      </w:r>
      <w:bookmarkEnd w:id="9"/>
    </w:p>
    <w:p w14:paraId="662FD704" w14:textId="77777777" w:rsidR="00ED32D7" w:rsidRPr="00ED32D7" w:rsidRDefault="00ED32D7" w:rsidP="00ED32D7">
      <w:pPr>
        <w:spacing w:after="0" w:line="240" w:lineRule="auto"/>
        <w:jc w:val="both"/>
        <w:rPr>
          <w:rFonts w:eastAsia="Times New Roman" w:cs="Arial"/>
          <w:b/>
          <w:bCs/>
          <w:color w:val="000000"/>
          <w:spacing w:val="-2"/>
          <w:lang w:eastAsia="nl-BE"/>
        </w:rPr>
      </w:pPr>
      <w:bookmarkStart w:id="10" w:name="_Toc83230837"/>
      <w:bookmarkStart w:id="11" w:name="_Toc83231089"/>
      <w:bookmarkEnd w:id="10"/>
      <w:r w:rsidRPr="00ED32D7">
        <w:rPr>
          <w:rFonts w:eastAsia="Times New Roman" w:cs="Arial"/>
          <w:b/>
          <w:bCs/>
          <w:color w:val="000000"/>
          <w:spacing w:val="-2"/>
          <w:lang w:val="nl-NL" w:eastAsia="nl-BE"/>
        </w:rPr>
        <w:t xml:space="preserve">- Sophie </w:t>
      </w:r>
      <w:proofErr w:type="spellStart"/>
      <w:r w:rsidRPr="00ED32D7">
        <w:rPr>
          <w:rFonts w:eastAsia="Times New Roman" w:cs="Arial"/>
          <w:b/>
          <w:bCs/>
          <w:color w:val="000000"/>
          <w:spacing w:val="-2"/>
          <w:lang w:val="nl-NL" w:eastAsia="nl-BE"/>
        </w:rPr>
        <w:t>Thémont</w:t>
      </w:r>
      <w:proofErr w:type="spellEnd"/>
      <w:r w:rsidRPr="00ED32D7">
        <w:rPr>
          <w:rFonts w:eastAsia="Times New Roman" w:cs="Arial"/>
          <w:b/>
          <w:bCs/>
          <w:color w:val="000000"/>
          <w:spacing w:val="-2"/>
          <w:lang w:val="nl-NL" w:eastAsia="nl-BE"/>
        </w:rPr>
        <w:t xml:space="preserve"> aan Frank Vandenbroucke (VEM Sociale Zaken en Volksgezondheid) over "Het telewerk voor grensarbeiders" (55019924C)</w:t>
      </w:r>
      <w:bookmarkEnd w:id="11"/>
    </w:p>
    <w:p w14:paraId="5458A392" w14:textId="77777777" w:rsidR="00ED32D7" w:rsidRPr="00ED32D7" w:rsidRDefault="00ED32D7" w:rsidP="00ED32D7">
      <w:pPr>
        <w:spacing w:after="0" w:line="240" w:lineRule="auto"/>
        <w:jc w:val="both"/>
        <w:rPr>
          <w:rFonts w:eastAsia="Times New Roman" w:cs="Arial"/>
          <w:b/>
          <w:bCs/>
          <w:color w:val="000000"/>
          <w:spacing w:val="-2"/>
          <w:lang w:eastAsia="nl-BE"/>
        </w:rPr>
      </w:pPr>
      <w:bookmarkStart w:id="12" w:name="_Toc83230838"/>
      <w:bookmarkStart w:id="13" w:name="_Toc83231090"/>
      <w:bookmarkEnd w:id="12"/>
      <w:r w:rsidRPr="00ED32D7">
        <w:rPr>
          <w:rFonts w:eastAsia="Times New Roman" w:cs="Arial"/>
          <w:b/>
          <w:bCs/>
          <w:color w:val="000000"/>
          <w:spacing w:val="-2"/>
          <w:lang w:val="nl-NL" w:eastAsia="nl-BE"/>
        </w:rPr>
        <w:t xml:space="preserve">- Anja </w:t>
      </w:r>
      <w:proofErr w:type="spellStart"/>
      <w:r w:rsidRPr="00ED32D7">
        <w:rPr>
          <w:rFonts w:eastAsia="Times New Roman" w:cs="Arial"/>
          <w:b/>
          <w:bCs/>
          <w:color w:val="000000"/>
          <w:spacing w:val="-2"/>
          <w:lang w:val="nl-NL" w:eastAsia="nl-BE"/>
        </w:rPr>
        <w:t>Vanrobaeys</w:t>
      </w:r>
      <w:proofErr w:type="spellEnd"/>
      <w:r w:rsidRPr="00ED32D7">
        <w:rPr>
          <w:rFonts w:eastAsia="Times New Roman" w:cs="Arial"/>
          <w:b/>
          <w:bCs/>
          <w:color w:val="000000"/>
          <w:spacing w:val="-2"/>
          <w:lang w:val="nl-NL" w:eastAsia="nl-BE"/>
        </w:rPr>
        <w:t xml:space="preserve"> aan Frank Vandenbroucke (VEM Sociale Zaken en Volksgezondheid) over "Het grensoverschrijdend telewerk" (55020460C)</w:t>
      </w:r>
      <w:bookmarkEnd w:id="13"/>
    </w:p>
    <w:p w14:paraId="67880030" w14:textId="77777777" w:rsidR="00ED32D7" w:rsidRPr="00ED32D7" w:rsidRDefault="00ED32D7" w:rsidP="00ED32D7">
      <w:pPr>
        <w:spacing w:after="0" w:line="240" w:lineRule="auto"/>
        <w:rPr>
          <w:rFonts w:eastAsia="Times New Roman" w:cs="Arial"/>
          <w:color w:val="000000"/>
          <w:lang w:eastAsia="nl-BE"/>
        </w:rPr>
      </w:pPr>
      <w:r w:rsidRPr="00ED32D7">
        <w:rPr>
          <w:rFonts w:eastAsia="Times New Roman" w:cs="Arial"/>
          <w:color w:val="000000"/>
          <w:lang w:val="nl-NL" w:eastAsia="nl-BE"/>
        </w:rPr>
        <w:t> </w:t>
      </w:r>
    </w:p>
    <w:p w14:paraId="677C1DB5" w14:textId="77777777" w:rsidR="00ED32D7" w:rsidRPr="00ED32D7" w:rsidRDefault="00ED32D7" w:rsidP="00ED32D7">
      <w:pPr>
        <w:spacing w:after="0" w:line="240" w:lineRule="auto"/>
        <w:jc w:val="both"/>
        <w:rPr>
          <w:rFonts w:eastAsia="Times New Roman" w:cs="Arial"/>
          <w:color w:val="000000"/>
          <w:lang w:val="fr-FR" w:eastAsia="nl-BE"/>
        </w:rPr>
      </w:pPr>
      <w:bookmarkStart w:id="14" w:name="T004"/>
      <w:bookmarkStart w:id="15" w:name="TF01"/>
      <w:bookmarkEnd w:id="14"/>
      <w:bookmarkEnd w:id="15"/>
      <w:r w:rsidRPr="00ED32D7">
        <w:rPr>
          <w:rFonts w:eastAsia="Times New Roman" w:cs="Arial"/>
          <w:lang w:val="fr-FR" w:eastAsia="nl-BE"/>
        </w:rPr>
        <w:t>01.01</w:t>
      </w:r>
      <w:r w:rsidRPr="00ED32D7">
        <w:rPr>
          <w:rFonts w:eastAsia="Times New Roman" w:cs="Arial"/>
          <w:b/>
          <w:bCs/>
          <w:lang w:val="fr-FR" w:eastAsia="nl-BE"/>
        </w:rPr>
        <w:t xml:space="preserve">  Sophie </w:t>
      </w:r>
      <w:proofErr w:type="spellStart"/>
      <w:r w:rsidRPr="00ED32D7">
        <w:rPr>
          <w:rFonts w:eastAsia="Times New Roman" w:cs="Arial"/>
          <w:b/>
          <w:bCs/>
          <w:lang w:val="fr-FR" w:eastAsia="nl-BE"/>
        </w:rPr>
        <w:t>Thémont</w:t>
      </w:r>
      <w:proofErr w:type="spellEnd"/>
      <w:r w:rsidRPr="00ED32D7">
        <w:rPr>
          <w:rFonts w:eastAsia="Times New Roman" w:cs="Arial"/>
          <w:b/>
          <w:bCs/>
          <w:lang w:val="fr-FR" w:eastAsia="nl-BE"/>
        </w:rPr>
        <w:t> </w:t>
      </w:r>
      <w:r w:rsidRPr="00ED32D7">
        <w:rPr>
          <w:rFonts w:eastAsia="Times New Roman" w:cs="Arial"/>
          <w:color w:val="000000"/>
          <w:lang w:val="fr-FR" w:eastAsia="nl-BE"/>
        </w:rPr>
        <w:t>(PS): Monsieur le ministre, à la suite des mesures de confinement, de nombreuses personnes travaillant habituellement à l'étranger ou exerçant une partie de leurs activités professionnelles à l'étranger ont été contraintes de travailler depuis leur domicile. Une augmentation significative du télétravail des transfrontaliers peut engendrer des répercussions importantes sur le traitement social des rémunérations. En effet, sur la base des règles européennes, un travailleur est soumis à la législation sociale d'un seul État membre, indépendamment de son État de résidence mais si le travailleur est occupé simultanément dans plusieurs États membres pour au moins 25 % de son temps de travail, il sera soumis à la législation de sécurité sociale de son État de résidence.</w:t>
      </w:r>
    </w:p>
    <w:p w14:paraId="1F8C94A7" w14:textId="77777777" w:rsidR="00ED32D7" w:rsidRPr="00ED32D7" w:rsidRDefault="00ED32D7" w:rsidP="00ED32D7">
      <w:pPr>
        <w:spacing w:after="0" w:line="240" w:lineRule="auto"/>
        <w:jc w:val="both"/>
        <w:rPr>
          <w:rFonts w:eastAsia="Times New Roman" w:cs="Arial"/>
          <w:color w:val="000000"/>
          <w:lang w:val="fr-FR" w:eastAsia="nl-BE"/>
        </w:rPr>
      </w:pPr>
      <w:r w:rsidRPr="00ED32D7">
        <w:rPr>
          <w:rFonts w:eastAsia="Times New Roman" w:cs="Arial"/>
          <w:color w:val="000000"/>
          <w:lang w:val="fr-FR" w:eastAsia="nl-BE"/>
        </w:rPr>
        <w:t> </w:t>
      </w:r>
    </w:p>
    <w:p w14:paraId="6F2F93B8"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xml:space="preserve">Dans le cadre de la crise, la Belgique et d'autres États européens ont pris des mesures d'exonération des heures prestées dans le pays de résidence afin d'éviter que le recours au télétravail n'entraîne une modification de la législation de sécurité sociale applicable. Toutefois, monsieur le ministre, nous savons que le télétravail sera amené à se développer au sein des entreprises. Le recours accru </w:t>
      </w:r>
      <w:r w:rsidRPr="00ED32D7">
        <w:rPr>
          <w:rFonts w:eastAsia="Times New Roman" w:cs="Arial"/>
          <w:color w:val="000000"/>
          <w:lang w:val="fr-FR" w:eastAsia="nl-BE"/>
        </w:rPr>
        <w:lastRenderedPageBreak/>
        <w:t>au télétravail est donc susceptible d'augmenter de manière significative le temps de travail du travailleur dans son État de résidence. Ce basculement aura des conséquences tant pour le travailleur que pour l'employeur qui pourrait notamment subir une augmentation du coût salarial.</w:t>
      </w:r>
    </w:p>
    <w:p w14:paraId="0F42FDDF"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w:t>
      </w:r>
    </w:p>
    <w:p w14:paraId="18120997"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Monsieur le ministre, avez-vous déjà entamé une réflexion quant à la situation des télétravailleurs transfrontaliers dans l'après-COVID-19? Des adaptations au règlement européen sont-elles envisagées par les différents États membres de l'Union européenne?</w:t>
      </w:r>
    </w:p>
    <w:p w14:paraId="07069477"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w:t>
      </w:r>
    </w:p>
    <w:p w14:paraId="227A4BF6"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val="fr-FR" w:eastAsia="nl-BE"/>
        </w:rPr>
        <w:t>Je vous remercie.</w:t>
      </w:r>
    </w:p>
    <w:p w14:paraId="48C0CEB8" w14:textId="77777777" w:rsidR="00ED32D7" w:rsidRPr="00ED32D7" w:rsidRDefault="00ED32D7" w:rsidP="00ED32D7">
      <w:pPr>
        <w:spacing w:after="0" w:line="240" w:lineRule="auto"/>
        <w:rPr>
          <w:rFonts w:eastAsia="Times New Roman" w:cs="Arial"/>
          <w:color w:val="000000"/>
          <w:lang w:eastAsia="nl-BE"/>
        </w:rPr>
      </w:pPr>
      <w:r w:rsidRPr="00ED32D7">
        <w:rPr>
          <w:rFonts w:eastAsia="Times New Roman" w:cs="Arial"/>
          <w:color w:val="000000"/>
          <w:lang w:val="fr-FR" w:eastAsia="nl-BE"/>
        </w:rPr>
        <w:t> </w:t>
      </w:r>
    </w:p>
    <w:p w14:paraId="27C74515" w14:textId="77777777" w:rsidR="00ED32D7" w:rsidRPr="00ED32D7" w:rsidRDefault="00ED32D7" w:rsidP="00ED32D7">
      <w:pPr>
        <w:spacing w:after="0" w:line="240" w:lineRule="auto"/>
        <w:jc w:val="both"/>
        <w:rPr>
          <w:rFonts w:eastAsia="Times New Roman" w:cs="Arial"/>
          <w:color w:val="000000"/>
          <w:lang w:eastAsia="nl-BE"/>
        </w:rPr>
      </w:pPr>
      <w:bookmarkStart w:id="16" w:name="T005"/>
      <w:bookmarkStart w:id="17" w:name="TN01"/>
      <w:bookmarkEnd w:id="16"/>
      <w:bookmarkEnd w:id="17"/>
      <w:r w:rsidRPr="00ED32D7">
        <w:rPr>
          <w:rFonts w:eastAsia="Times New Roman" w:cs="Arial"/>
          <w:lang w:val="nl-NL" w:eastAsia="nl-BE"/>
        </w:rPr>
        <w:t>01.02</w:t>
      </w:r>
      <w:r w:rsidRPr="00ED32D7">
        <w:rPr>
          <w:rFonts w:eastAsia="Times New Roman" w:cs="Arial"/>
          <w:b/>
          <w:bCs/>
          <w:lang w:val="nl-NL" w:eastAsia="nl-BE"/>
        </w:rPr>
        <w:t xml:space="preserve">  Anja </w:t>
      </w:r>
      <w:proofErr w:type="spellStart"/>
      <w:r w:rsidRPr="00ED32D7">
        <w:rPr>
          <w:rFonts w:eastAsia="Times New Roman" w:cs="Arial"/>
          <w:b/>
          <w:bCs/>
          <w:lang w:val="nl-NL" w:eastAsia="nl-BE"/>
        </w:rPr>
        <w:t>Vanrobaeys</w:t>
      </w:r>
      <w:proofErr w:type="spellEnd"/>
      <w:r w:rsidRPr="00ED32D7">
        <w:rPr>
          <w:rFonts w:eastAsia="Times New Roman" w:cs="Arial"/>
          <w:b/>
          <w:bCs/>
          <w:lang w:val="nl-NL" w:eastAsia="nl-BE"/>
        </w:rPr>
        <w:t> </w:t>
      </w:r>
      <w:r w:rsidRPr="00ED32D7">
        <w:rPr>
          <w:rFonts w:eastAsia="Times New Roman" w:cs="Arial"/>
          <w:color w:val="000000"/>
          <w:lang w:eastAsia="nl-BE"/>
        </w:rPr>
        <w:t>(Vooruit): Mevrouw de voorzitster, mijnheer de minister, ik heb een gelijkaardige vraag. We zijn postcorona en iedereen weet dat telewerk toeneemt. De ervaringen leerden nadelen, maar zeker ook wel de voordelen.</w:t>
      </w:r>
    </w:p>
    <w:p w14:paraId="22B2011C"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21E157C8"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De Europese regels zijn bekend: bij grensoverschrijdende tewerkstelling is men normaal gesproken onderworpen aan de sociale zekerheid van één lidstaat. Wie echter meer dan 25 % thuiswerkt, is voor dat deel ook onderworpen aan de sociale zekerheid van het woonland. Tijdens de coronaperiode werd die 25 %-regel opgeschort en die opschorting is nog tot eind december van kracht.</w:t>
      </w:r>
    </w:p>
    <w:p w14:paraId="5CF14781"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2F511461"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xml:space="preserve">Bij de vele grensarbeiders die in Nederland of Luxemburg werken, zien wij dat steeds meer bedrijven inzetten op meer telewerk. Daarbij rijst de vraag hoe een en ander na december geregeld zal moeten worden. In de praktijk leidt het ertoe dat grensarbeiders minder mogen telewerken dan werknemers die in het eigen land wonen en werken. Telewerk wordt voor grenswerknemers algauw beperkt tot één dag, want de toekenning van meer telewerkdagen leidt tot heel wat extra administratieve lasten voor de werkgever, aangezien de werkgever het loon moet opsplitsen om in verschillende landen </w:t>
      </w:r>
      <w:proofErr w:type="spellStart"/>
      <w:r w:rsidRPr="00ED32D7">
        <w:rPr>
          <w:rFonts w:eastAsia="Times New Roman" w:cs="Arial"/>
          <w:color w:val="000000"/>
          <w:lang w:eastAsia="nl-BE"/>
        </w:rPr>
        <w:t>socialezekerheidsbijdragen</w:t>
      </w:r>
      <w:proofErr w:type="spellEnd"/>
      <w:r w:rsidRPr="00ED32D7">
        <w:rPr>
          <w:rFonts w:eastAsia="Times New Roman" w:cs="Arial"/>
          <w:color w:val="000000"/>
          <w:lang w:eastAsia="nl-BE"/>
        </w:rPr>
        <w:t xml:space="preserve"> te betalen.</w:t>
      </w:r>
    </w:p>
    <w:p w14:paraId="54879206"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6FF9C047"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Ook bij de grenswerknemers zelf, als zij onder die CAO-wet vallen, leidt het telewerken tot heel wat vragen. Bijvoorbeeld, wat gebeurt er als de werknemer ziek is? Onder de CAO-wet wordt bij ziekte het loon voor een stuk door de werkgever vanuit het buitenland doorbetaald. Pas daarna valt de werknemer onder de sociale zekerheid van het woonland.</w:t>
      </w:r>
    </w:p>
    <w:p w14:paraId="5B52444D"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7E131603"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Mijnheer de minister, is die problematiek al op Europees niveau besproken? Hoe kunnen de regels worden aangepast aan nieuwe vormen van werken, zonder dat dit aanleiding geeft tot allerlei schijnconstructies die al dan niet opgezet worden?</w:t>
      </w:r>
    </w:p>
    <w:p w14:paraId="3D405B57"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68FCE1F5"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Eind december loopt de neutralisatie af, maar wanneer die problematiek niet vóór eind december besproken is, welke zijn dan de gevolgen? Het is belangrijk dat grensarbeiders op de hoogte zijn van de mogelijke gevolgen wanneer zij meer telewerken dan toegelaten is.</w:t>
      </w:r>
    </w:p>
    <w:p w14:paraId="48756D8A"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5BF8126F" w14:textId="77777777" w:rsidR="00ED32D7" w:rsidRPr="00ED32D7" w:rsidRDefault="00ED32D7" w:rsidP="00ED32D7">
      <w:pPr>
        <w:spacing w:after="0" w:line="240" w:lineRule="auto"/>
        <w:jc w:val="both"/>
        <w:rPr>
          <w:rFonts w:eastAsia="Times New Roman" w:cs="Arial"/>
          <w:color w:val="000000"/>
          <w:lang w:val="fr-FR" w:eastAsia="nl-BE"/>
        </w:rPr>
      </w:pPr>
      <w:bookmarkStart w:id="18" w:name="T006"/>
      <w:bookmarkEnd w:id="18"/>
      <w:r w:rsidRPr="00ED32D7">
        <w:rPr>
          <w:rFonts w:eastAsia="Times New Roman" w:cs="Arial"/>
          <w:lang w:val="fr-FR" w:eastAsia="nl-BE"/>
        </w:rPr>
        <w:t>01.03</w:t>
      </w:r>
      <w:r w:rsidRPr="00ED32D7">
        <w:rPr>
          <w:rFonts w:eastAsia="Times New Roman" w:cs="Arial"/>
          <w:b/>
          <w:bCs/>
          <w:lang w:val="fr-FR" w:eastAsia="nl-BE"/>
        </w:rPr>
        <w:t xml:space="preserve">  Frank </w:t>
      </w:r>
      <w:proofErr w:type="spellStart"/>
      <w:r w:rsidRPr="00ED32D7">
        <w:rPr>
          <w:rFonts w:eastAsia="Times New Roman" w:cs="Arial"/>
          <w:b/>
          <w:bCs/>
          <w:lang w:val="fr-FR" w:eastAsia="nl-BE"/>
        </w:rPr>
        <w:t>Vandenbroucke</w:t>
      </w:r>
      <w:proofErr w:type="spellEnd"/>
      <w:r w:rsidRPr="00ED32D7">
        <w:rPr>
          <w:rFonts w:eastAsia="Times New Roman" w:cs="Arial"/>
          <w:color w:val="000000"/>
          <w:lang w:val="fr-FR" w:eastAsia="nl-BE"/>
        </w:rPr>
        <w:t xml:space="preserve">, ministre: Madame la présidente, depuis le début de la crise sanitaire, le télétravail a constitué un des moyens essentiels pour limiter la propagation du virus. En matière de mobilité transfrontalière, intra-européenne, la détermination de la législation de sécurité sociale applicable est prévue par les </w:t>
      </w:r>
      <w:r w:rsidRPr="00ED32D7">
        <w:rPr>
          <w:rFonts w:eastAsia="Times New Roman" w:cs="Arial"/>
          <w:color w:val="000000"/>
          <w:lang w:val="fr-FR" w:eastAsia="nl-BE"/>
        </w:rPr>
        <w:lastRenderedPageBreak/>
        <w:t>Règlements européens n° 883/2004 et 987/2009 portant coordination des systèmes de sécurité sociale.</w:t>
      </w:r>
    </w:p>
    <w:p w14:paraId="56E81B38" w14:textId="77777777" w:rsidR="00ED32D7" w:rsidRPr="00ED32D7" w:rsidRDefault="00ED32D7" w:rsidP="00ED32D7">
      <w:pPr>
        <w:spacing w:after="0" w:line="240" w:lineRule="auto"/>
        <w:jc w:val="both"/>
        <w:rPr>
          <w:rFonts w:eastAsia="Times New Roman" w:cs="Arial"/>
          <w:color w:val="000000"/>
          <w:lang w:val="fr-FR" w:eastAsia="nl-BE"/>
        </w:rPr>
      </w:pPr>
      <w:r w:rsidRPr="00ED32D7">
        <w:rPr>
          <w:rFonts w:eastAsia="Times New Roman" w:cs="Arial"/>
          <w:color w:val="000000"/>
          <w:lang w:val="fr-FR" w:eastAsia="nl-BE"/>
        </w:rPr>
        <w:t> </w:t>
      </w:r>
    </w:p>
    <w:p w14:paraId="21690697"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Cette règle de 25 % inscrite dans le Règlement européen 987/2009 concerne la détermination de la législation applicable en matière de sécurité sociale conformément aux Règlements de coordination 883/2004 et 987/2009. Plus spécifiquement, elle concerne les situations de pluriactivité, à savoir les situations dans lesquelles une personne poursuit simultanément ou consécutivement une activité sur le territoire de plusieurs États membres de l'Union européenne.</w:t>
      </w:r>
    </w:p>
    <w:p w14:paraId="552EA120"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w:t>
      </w:r>
    </w:p>
    <w:p w14:paraId="78E83365"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Les règlements européens de coordination précités prévoient que ces travailleurs dits pluriactifs doivent être assujettis à la sécurité sociale de leur État membre de résidence à condition qu'ils y exercent une partie substantielle de leur activité, à savoir au moins 25 % de celle-ci.</w:t>
      </w:r>
    </w:p>
    <w:p w14:paraId="7F08A3AC"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w:t>
      </w:r>
    </w:p>
    <w:p w14:paraId="097BF29A"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Afin d'appliquer cette règle, le télétravail est également pris en compte pour évaluer l'intensité de l'activité poursuivie dans l'État membre de résidence.</w:t>
      </w:r>
    </w:p>
    <w:p w14:paraId="7316ADD2" w14:textId="77777777" w:rsidR="00ED32D7" w:rsidRPr="00ED32D7" w:rsidRDefault="00ED32D7" w:rsidP="00ED32D7">
      <w:pPr>
        <w:spacing w:after="0" w:line="240" w:lineRule="auto"/>
        <w:rPr>
          <w:rFonts w:eastAsia="Times New Roman" w:cs="Arial"/>
          <w:color w:val="000000"/>
          <w:lang w:val="en-GB" w:eastAsia="nl-BE"/>
        </w:rPr>
      </w:pPr>
      <w:r w:rsidRPr="00ED32D7">
        <w:rPr>
          <w:rFonts w:eastAsia="Times New Roman" w:cs="Arial"/>
          <w:color w:val="000000"/>
          <w:lang w:val="fr-FR" w:eastAsia="nl-BE"/>
        </w:rPr>
        <w:t> </w:t>
      </w:r>
    </w:p>
    <w:p w14:paraId="4817541D" w14:textId="77777777" w:rsidR="00ED32D7" w:rsidRPr="00ED32D7" w:rsidRDefault="00ED32D7" w:rsidP="00ED32D7">
      <w:pPr>
        <w:spacing w:after="0" w:line="240" w:lineRule="auto"/>
        <w:jc w:val="both"/>
        <w:rPr>
          <w:rFonts w:eastAsia="Times New Roman" w:cs="Arial"/>
          <w:color w:val="000000"/>
          <w:lang w:eastAsia="nl-BE"/>
        </w:rPr>
      </w:pPr>
      <w:bookmarkStart w:id="19" w:name="T007"/>
      <w:bookmarkEnd w:id="19"/>
      <w:r w:rsidRPr="00ED32D7">
        <w:rPr>
          <w:rFonts w:eastAsia="Times New Roman" w:cs="Arial"/>
          <w:color w:val="000000"/>
          <w:lang w:eastAsia="nl-BE"/>
        </w:rPr>
        <w:t>Door de gezondheidscrisis moesten veel grensarbeiders van thuis uit telewerken. Voor velen van hen steeg de intensiteit van de activiteit op het grondgebied van de lidstaat van verblijf daardoor aanzienlijk. Krachtens de regel van 25 % had dit toegenomen gebruik van telewerk dus kunnen leiden tot een wijziging van de toepasselijke socialezekerheidswetgeving. Grensarbeiders die voordien onderworpen waren aan de socialezekerheidswetgeving van de lidstaat van tewerkstelling omdat ze vóór de gezondheidscrisis geen substantiële werkzaamheden uitoefenden in de lidstaat van verblijf hadden wegens het toegenomen telewerk immers aangesloten moeten zijn in hun lidstaat van verblijf, ofwel bij de overschrijding van de drempel van 25 % ofwel bij voltijds telewerk, omdat de lidstaat van verblijf de lidstaat van tewerkstelling wordt.</w:t>
      </w:r>
    </w:p>
    <w:p w14:paraId="4202BC12"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7DF5C8B7"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De Administratieve Commissie voor de coördinatie van de socialezekerheidsstelsels heeft op basis van de rechtspraak van het Hof van Justitie van de Europese Unie geoordeeld dat de covidpandemie tot een uitzonderlijke situatie leidt, waarvoor overmacht kan worden ingeroepen. Daarom hoeft de toepasselijke wetgeving die op de personen van toepassing is overeenkomstig titel 2 van verordening 883/2004 niet te veranderen wegens de covidpandemie.</w:t>
      </w:r>
    </w:p>
    <w:p w14:paraId="59220DF0"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0A7D9AF7"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Op basis van deze beginselen is België op 17 maart met de buurlanden overeengekomen, en meer bepaald met het Groothertogdom Luxemburg, de impact van het toegenomen telewerk wegens de gezondheidscrisis te neutraliseren voor de vaststelling van de toepasselijke socialezekerheidswetgeving voor grensoverschrijdende pendelaars en grensarbeiders.</w:t>
      </w:r>
    </w:p>
    <w:p w14:paraId="0FAEA2FE"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39AF92A9"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xml:space="preserve">Vervolgens heeft de Administratieve </w:t>
      </w:r>
      <w:proofErr w:type="spellStart"/>
      <w:r w:rsidRPr="00ED32D7">
        <w:rPr>
          <w:rFonts w:eastAsia="Times New Roman" w:cs="Arial"/>
          <w:color w:val="000000"/>
          <w:lang w:eastAsia="nl-BE"/>
        </w:rPr>
        <w:t>Ccommissie</w:t>
      </w:r>
      <w:proofErr w:type="spellEnd"/>
      <w:r w:rsidRPr="00ED32D7">
        <w:rPr>
          <w:rFonts w:eastAsia="Times New Roman" w:cs="Arial"/>
          <w:color w:val="000000"/>
          <w:lang w:eastAsia="nl-BE"/>
        </w:rPr>
        <w:t xml:space="preserve"> voor de coördinatie van de socialezekerheidsstelsels zich over deze kwestie gebogen en richtsnoeren ter zake opgesteld en gevalideerd, onder meer om de impact van het toegenomen telewerk wegens de gezondheidscrisis te neutraliseren. Zodoende hoefde de toepasselijke wetgeving voor veel grensarbeiders die moesten telewerken niet te worden veranderd.</w:t>
      </w:r>
    </w:p>
    <w:p w14:paraId="1F9A3390"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79B8F0CD"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xml:space="preserve">De geldigheid van deze richtsnoeren werd verlengd tot 31 december 2021 en geldt voor de 27 lidstaten van de Europese Unie, Zwitserland en de lidstaten van de </w:t>
      </w:r>
      <w:r w:rsidRPr="00ED32D7">
        <w:rPr>
          <w:rFonts w:eastAsia="Times New Roman" w:cs="Arial"/>
          <w:color w:val="000000"/>
          <w:lang w:eastAsia="nl-BE"/>
        </w:rPr>
        <w:lastRenderedPageBreak/>
        <w:t xml:space="preserve">Europese Economische Ruimte - EER -, te weten Noorwegen, IJsland en Liechtenstein. Ook het Verenigd Koninkrijk past deze richtsnoeren toe. Het was eigenlijk zowel een </w:t>
      </w:r>
      <w:proofErr w:type="spellStart"/>
      <w:r w:rsidRPr="00ED32D7">
        <w:rPr>
          <w:rFonts w:eastAsia="Times New Roman" w:cs="Arial"/>
          <w:color w:val="000000"/>
          <w:lang w:eastAsia="nl-BE"/>
        </w:rPr>
        <w:t>socialezekerheids</w:t>
      </w:r>
      <w:proofErr w:type="spellEnd"/>
      <w:r w:rsidRPr="00ED32D7">
        <w:rPr>
          <w:rFonts w:eastAsia="Times New Roman" w:cs="Arial"/>
          <w:color w:val="000000"/>
          <w:lang w:eastAsia="nl-BE"/>
        </w:rPr>
        <w:t>- als een volksgezondheidsmaatregel.</w:t>
      </w:r>
    </w:p>
    <w:p w14:paraId="46FAF257"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242FD5D7" w14:textId="77777777" w:rsidR="00ED32D7" w:rsidRPr="00ED32D7" w:rsidRDefault="00ED32D7" w:rsidP="00ED32D7">
      <w:pPr>
        <w:spacing w:after="0" w:line="240" w:lineRule="auto"/>
        <w:jc w:val="both"/>
        <w:rPr>
          <w:rFonts w:eastAsia="Times New Roman" w:cs="Arial"/>
          <w:color w:val="000000"/>
          <w:lang w:val="en-GB" w:eastAsia="nl-BE"/>
        </w:rPr>
      </w:pPr>
      <w:bookmarkStart w:id="20" w:name="T008"/>
      <w:bookmarkEnd w:id="20"/>
      <w:r w:rsidRPr="00ED32D7">
        <w:rPr>
          <w:rFonts w:eastAsia="Times New Roman" w:cs="Arial"/>
          <w:color w:val="000000"/>
          <w:lang w:val="fr-FR" w:eastAsia="nl-BE"/>
        </w:rPr>
        <w:t>Une fois la crise sanitaire terminée, il est fort probable que le télétravail continue à occuper une place prépondérante. La commission européenne est également d'avis qu'une telle réflexion est nécessaire et doit évaluer si et comment une telle réflexion peut prendre place. Celle-ci doit être menée au niveau  de l'Union et il est important que les règles qui seraient définies soient identiques pour tous les États membres.</w:t>
      </w:r>
    </w:p>
    <w:p w14:paraId="5A2B519A"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w:t>
      </w:r>
    </w:p>
    <w:p w14:paraId="4AE65923"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Il convient aussi d'évaluer correctement l'impact des règles sur toutes les branches de la sécurité sociale. Néanmoins, il n'y a encore aucune proposition concrète à ce sujet pour l'instant.</w:t>
      </w:r>
    </w:p>
    <w:p w14:paraId="01F6658A"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w:t>
      </w:r>
    </w:p>
    <w:p w14:paraId="64A22018"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Je relève que le Sénat français a adopté le 9 juillet une résolution visant à rendre pérenne l'augmentation du temps de télétravail autorisé pour les travailleurs frontaliers.</w:t>
      </w:r>
    </w:p>
    <w:p w14:paraId="3AB62511"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w:t>
      </w:r>
    </w:p>
    <w:p w14:paraId="78B8E0AD"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Par sa résolution, le Sénat français invite d'une part en conséquence l'Union européenne à revoir à la hausse le taux à partir duquel une activité est qualifiée de substantielle, afin que les travailleurs frontaliers puissent être en télétravail jusqu'à deux jours par semaine, sans que cela induise un changement  quant à la détermination de l'État auquel doivent être versées leurs cotisations sociales. D'autre part, le Sénat français invite le gouvernement français à soutenir cette augmentation et à la faire valoir dans la négociation au Conseil; bref, un tel débat doit obligatoirement pendre place au niveau européen.</w:t>
      </w:r>
    </w:p>
    <w:p w14:paraId="67905571"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w:t>
      </w:r>
    </w:p>
    <w:p w14:paraId="272AAEFD" w14:textId="77777777" w:rsidR="00ED32D7" w:rsidRPr="00ED32D7" w:rsidRDefault="00ED32D7" w:rsidP="00ED32D7">
      <w:pPr>
        <w:spacing w:after="0" w:line="240" w:lineRule="auto"/>
        <w:jc w:val="both"/>
        <w:rPr>
          <w:rFonts w:eastAsia="Times New Roman" w:cs="Arial"/>
          <w:color w:val="000000"/>
          <w:lang w:eastAsia="nl-BE"/>
        </w:rPr>
      </w:pPr>
      <w:bookmarkStart w:id="21" w:name="T009"/>
      <w:bookmarkEnd w:id="21"/>
      <w:r w:rsidRPr="00ED32D7">
        <w:rPr>
          <w:rFonts w:eastAsia="Times New Roman" w:cs="Arial"/>
          <w:color w:val="000000"/>
          <w:lang w:eastAsia="nl-BE"/>
        </w:rPr>
        <w:t>Ik heb aan mijn administratie gevraagd om een eerste verkennende evaluatie van het probleem uit te voeren, in nauw overleg met de instellingen die bevoegd zijn voor het vaststellen van de sociale zekerheidswetgeving. Zodoende zal ik snel over de resultaten van de evaluatie kunnen beschikken wanneer het debat op Europees niveau op gang komt.</w:t>
      </w:r>
    </w:p>
    <w:p w14:paraId="2B87D8B5"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15916575" w14:textId="77777777" w:rsidR="00ED32D7" w:rsidRPr="00ED32D7" w:rsidRDefault="00ED32D7" w:rsidP="00ED32D7">
      <w:pPr>
        <w:spacing w:after="0" w:line="240" w:lineRule="auto"/>
        <w:jc w:val="both"/>
        <w:rPr>
          <w:rFonts w:eastAsia="Times New Roman" w:cs="Arial"/>
          <w:color w:val="000000"/>
          <w:lang w:val="en-GB" w:eastAsia="nl-BE"/>
        </w:rPr>
      </w:pPr>
      <w:bookmarkStart w:id="22" w:name="T010"/>
      <w:bookmarkEnd w:id="22"/>
      <w:r w:rsidRPr="00ED32D7">
        <w:rPr>
          <w:rFonts w:eastAsia="Times New Roman" w:cs="Arial"/>
          <w:lang w:val="fr-FR" w:eastAsia="nl-BE"/>
        </w:rPr>
        <w:t>01.04</w:t>
      </w:r>
      <w:r w:rsidRPr="00ED32D7">
        <w:rPr>
          <w:rFonts w:eastAsia="Times New Roman" w:cs="Arial"/>
          <w:b/>
          <w:bCs/>
          <w:lang w:val="fr-FR" w:eastAsia="nl-BE"/>
        </w:rPr>
        <w:t xml:space="preserve">  Sophie </w:t>
      </w:r>
      <w:proofErr w:type="spellStart"/>
      <w:r w:rsidRPr="00ED32D7">
        <w:rPr>
          <w:rFonts w:eastAsia="Times New Roman" w:cs="Arial"/>
          <w:b/>
          <w:bCs/>
          <w:lang w:val="fr-FR" w:eastAsia="nl-BE"/>
        </w:rPr>
        <w:t>Thémont</w:t>
      </w:r>
      <w:proofErr w:type="spellEnd"/>
      <w:r w:rsidRPr="00ED32D7">
        <w:rPr>
          <w:rFonts w:eastAsia="Times New Roman" w:cs="Arial"/>
          <w:b/>
          <w:bCs/>
          <w:lang w:val="fr-FR" w:eastAsia="nl-BE"/>
        </w:rPr>
        <w:t> </w:t>
      </w:r>
      <w:r w:rsidRPr="00ED32D7">
        <w:rPr>
          <w:rFonts w:eastAsia="Times New Roman" w:cs="Arial"/>
          <w:color w:val="000000"/>
          <w:lang w:val="fr-FR" w:eastAsia="nl-BE"/>
        </w:rPr>
        <w:t>(PS): Monsieur le ministre, je vous remercie pour cette réponse complète. Il m'intéresserait d'en recevoir une copie car elle est très longue.</w:t>
      </w:r>
    </w:p>
    <w:p w14:paraId="05EDFAD8" w14:textId="77777777" w:rsidR="00ED32D7" w:rsidRPr="00ED32D7" w:rsidRDefault="00ED32D7" w:rsidP="00ED32D7">
      <w:pPr>
        <w:spacing w:after="0" w:line="240" w:lineRule="auto"/>
        <w:jc w:val="both"/>
        <w:rPr>
          <w:rFonts w:eastAsia="Times New Roman" w:cs="Arial"/>
          <w:color w:val="000000"/>
          <w:lang w:val="en-GB" w:eastAsia="nl-BE"/>
        </w:rPr>
      </w:pPr>
      <w:r w:rsidRPr="00ED32D7">
        <w:rPr>
          <w:rFonts w:eastAsia="Times New Roman" w:cs="Arial"/>
          <w:color w:val="000000"/>
          <w:lang w:val="fr-FR" w:eastAsia="nl-BE"/>
        </w:rPr>
        <w:t> </w:t>
      </w:r>
    </w:p>
    <w:p w14:paraId="15BCF2EF"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val="fr-FR" w:eastAsia="nl-BE"/>
        </w:rPr>
        <w:t>J'ai salué les mesures exceptionnelles qui ont été mises en place durant cette crise comme la non-prise en considération des périodes de travail effectuées sur le territoire belge par des frontaliers suite au coronavirus. On sait que ces mesures sont limitées dans le temps. On sait aussi que le télétravail est amené à devenir structurel. Dès lors, notre système de sécurité sociale doit évoluer.</w:t>
      </w:r>
    </w:p>
    <w:p w14:paraId="0CC072B9"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val="fr-FR" w:eastAsia="nl-BE"/>
        </w:rPr>
        <w:t> </w:t>
      </w:r>
    </w:p>
    <w:p w14:paraId="4DFDEA04"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val="fr-FR" w:eastAsia="nl-BE"/>
        </w:rPr>
        <w:t>Je suis d'accord avec vous quand vous dites que la réflexion doit être globale et les règles identiques au niveau des États membres de l'Union européenne. Votre administration et vous êtes en train d'analyser le problème avec les pouvoirs compétents. Je serai attentive à l'évolution du dossier et ne manquerai pas de vous réinterroger en temps opportun.</w:t>
      </w:r>
    </w:p>
    <w:p w14:paraId="210767E2"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val="fr-FR" w:eastAsia="nl-BE"/>
        </w:rPr>
        <w:t> </w:t>
      </w:r>
    </w:p>
    <w:p w14:paraId="34290711" w14:textId="77777777" w:rsidR="00ED32D7" w:rsidRPr="00ED32D7" w:rsidRDefault="00ED32D7" w:rsidP="00ED32D7">
      <w:pPr>
        <w:spacing w:after="0" w:line="240" w:lineRule="auto"/>
        <w:jc w:val="both"/>
        <w:rPr>
          <w:rFonts w:eastAsia="Times New Roman" w:cs="Arial"/>
          <w:color w:val="000000"/>
          <w:lang w:eastAsia="nl-BE"/>
        </w:rPr>
      </w:pPr>
      <w:bookmarkStart w:id="23" w:name="T011"/>
      <w:bookmarkEnd w:id="23"/>
      <w:r w:rsidRPr="00ED32D7">
        <w:rPr>
          <w:rFonts w:eastAsia="Times New Roman" w:cs="Arial"/>
          <w:lang w:val="nl-NL" w:eastAsia="nl-BE"/>
        </w:rPr>
        <w:t>01.05</w:t>
      </w:r>
      <w:r w:rsidRPr="00ED32D7">
        <w:rPr>
          <w:rFonts w:eastAsia="Times New Roman" w:cs="Arial"/>
          <w:b/>
          <w:bCs/>
          <w:lang w:val="nl-NL" w:eastAsia="nl-BE"/>
        </w:rPr>
        <w:t xml:space="preserve">  Anja </w:t>
      </w:r>
      <w:proofErr w:type="spellStart"/>
      <w:r w:rsidRPr="00ED32D7">
        <w:rPr>
          <w:rFonts w:eastAsia="Times New Roman" w:cs="Arial"/>
          <w:b/>
          <w:bCs/>
          <w:lang w:val="nl-NL" w:eastAsia="nl-BE"/>
        </w:rPr>
        <w:t>Vanrobaeys</w:t>
      </w:r>
      <w:proofErr w:type="spellEnd"/>
      <w:r w:rsidRPr="00ED32D7">
        <w:rPr>
          <w:rFonts w:eastAsia="Times New Roman" w:cs="Arial"/>
          <w:b/>
          <w:bCs/>
          <w:lang w:val="nl-NL" w:eastAsia="nl-BE"/>
        </w:rPr>
        <w:t> </w:t>
      </w:r>
      <w:r w:rsidRPr="00ED32D7">
        <w:rPr>
          <w:rFonts w:eastAsia="Times New Roman" w:cs="Arial"/>
          <w:color w:val="000000"/>
          <w:lang w:eastAsia="nl-BE"/>
        </w:rPr>
        <w:t>(Vooruit): Ik dank de minister voor zijn uitgebreid antwoord.</w:t>
      </w:r>
    </w:p>
    <w:p w14:paraId="2500F955"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lastRenderedPageBreak/>
        <w:t> </w:t>
      </w:r>
    </w:p>
    <w:p w14:paraId="316A09C5"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xml:space="preserve">Het lucht mij wel op dat het toch al op de Europese agenda is gebracht door de Franse resolutie. Het probleem op het vlak van de belastingen is er ook nog en het hangt er mee samen. Het is zelfs nog urgenter. Ik stel ook dezelfde vraag aan minister Van </w:t>
      </w:r>
      <w:proofErr w:type="spellStart"/>
      <w:r w:rsidRPr="00ED32D7">
        <w:rPr>
          <w:rFonts w:eastAsia="Times New Roman" w:cs="Arial"/>
          <w:color w:val="000000"/>
          <w:lang w:eastAsia="nl-BE"/>
        </w:rPr>
        <w:t>Peteghem</w:t>
      </w:r>
      <w:proofErr w:type="spellEnd"/>
      <w:r w:rsidRPr="00ED32D7">
        <w:rPr>
          <w:rFonts w:eastAsia="Times New Roman" w:cs="Arial"/>
          <w:color w:val="000000"/>
          <w:lang w:eastAsia="nl-BE"/>
        </w:rPr>
        <w:t>. Daar loopt de neutralisatie van de bilaterale akkoorden af eind september.</w:t>
      </w:r>
    </w:p>
    <w:p w14:paraId="4C05A6E1"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0FDFD730"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Naast de analyse die gemaakt wordt door uw administratie op het vlak van de sociale zekerheid – een probleem dat inderdaad Europees wordt besproken – zou het goed zijn om te bekijken of de regels inzake sociale zekerheid en belastingen kunnen verbeterd en geharmoniseerd worden. Zij zouden ook moeten aangepast worden aan de nieuwe vormen van werken. Ik denk dat dit in het belang is van de grenswerknemers die in onze buurlanden werken maar ook van de werkgevers hier die een beroep doen op buitenlandse grenswerknemers, zeker nu met de krapte op de arbeidsmarkt. Wij moeten zeker kijken hoe dat werk kan aangepast aan telewerk en nieuwe vormen van werk. </w:t>
      </w:r>
    </w:p>
    <w:p w14:paraId="194F10ED" w14:textId="77777777" w:rsidR="00ED32D7" w:rsidRPr="00ED32D7" w:rsidRDefault="00ED32D7" w:rsidP="00ED32D7">
      <w:pPr>
        <w:spacing w:after="0" w:line="240" w:lineRule="auto"/>
        <w:jc w:val="both"/>
        <w:rPr>
          <w:rFonts w:eastAsia="Times New Roman" w:cs="Arial"/>
          <w:color w:val="000000"/>
          <w:lang w:eastAsia="nl-BE"/>
        </w:rPr>
      </w:pPr>
      <w:r w:rsidRPr="00ED32D7">
        <w:rPr>
          <w:rFonts w:eastAsia="Times New Roman" w:cs="Arial"/>
          <w:color w:val="000000"/>
          <w:lang w:eastAsia="nl-BE"/>
        </w:rPr>
        <w:t> </w:t>
      </w:r>
    </w:p>
    <w:p w14:paraId="09490854" w14:textId="77777777" w:rsidR="00ED32D7" w:rsidRPr="00ED32D7" w:rsidRDefault="00ED32D7" w:rsidP="00ED32D7">
      <w:pPr>
        <w:spacing w:after="0" w:line="240" w:lineRule="auto"/>
        <w:rPr>
          <w:rFonts w:eastAsia="Times New Roman" w:cs="Arial"/>
          <w:color w:val="000000"/>
          <w:lang w:eastAsia="nl-BE"/>
        </w:rPr>
      </w:pPr>
      <w:bookmarkStart w:id="24" w:name="T012"/>
      <w:bookmarkEnd w:id="24"/>
      <w:r w:rsidRPr="00ED32D7">
        <w:rPr>
          <w:rFonts w:eastAsia="Times New Roman" w:cs="Arial"/>
          <w:color w:val="000000"/>
          <w:lang w:val="nl-NL" w:eastAsia="nl-BE"/>
        </w:rPr>
        <w:t> </w:t>
      </w:r>
    </w:p>
    <w:p w14:paraId="51D122C8" w14:textId="77777777" w:rsidR="00ED32D7" w:rsidRPr="00ED32D7" w:rsidRDefault="00ED32D7" w:rsidP="00ED32D7">
      <w:pPr>
        <w:spacing w:after="0" w:line="240" w:lineRule="auto"/>
        <w:jc w:val="both"/>
        <w:rPr>
          <w:rFonts w:eastAsia="Times New Roman" w:cs="Arial"/>
          <w:color w:val="000000"/>
          <w:lang w:eastAsia="nl-BE"/>
        </w:rPr>
      </w:pPr>
      <w:bookmarkStart w:id="25" w:name="T013"/>
      <w:bookmarkEnd w:id="25"/>
      <w:r w:rsidRPr="00ED32D7">
        <w:rPr>
          <w:rFonts w:eastAsia="Times New Roman" w:cs="Arial"/>
          <w:color w:val="000000"/>
          <w:lang w:eastAsia="nl-BE"/>
        </w:rPr>
        <w:t> </w:t>
      </w:r>
    </w:p>
    <w:p w14:paraId="5F302932" w14:textId="77777777" w:rsidR="00ED32D7" w:rsidRPr="00ED32D7" w:rsidRDefault="00ED32D7" w:rsidP="00ED32D7">
      <w:pPr>
        <w:spacing w:after="0" w:line="240" w:lineRule="auto"/>
        <w:jc w:val="both"/>
        <w:rPr>
          <w:rFonts w:eastAsia="Times New Roman" w:cs="Arial"/>
          <w:i/>
          <w:iCs/>
          <w:color w:val="000000"/>
          <w:lang w:eastAsia="nl-BE"/>
        </w:rPr>
      </w:pPr>
      <w:bookmarkStart w:id="26" w:name="T014"/>
      <w:bookmarkEnd w:id="26"/>
      <w:r w:rsidRPr="00ED32D7">
        <w:rPr>
          <w:rFonts w:eastAsia="Times New Roman" w:cs="Arial"/>
          <w:i/>
          <w:iCs/>
          <w:color w:val="000000"/>
          <w:lang w:val="nl-NL" w:eastAsia="nl-BE"/>
        </w:rPr>
        <w:t>Het incident is gesloten.</w:t>
      </w:r>
    </w:p>
    <w:p w14:paraId="55A95B7F" w14:textId="77777777" w:rsidR="00ED32D7" w:rsidRPr="00ED32D7" w:rsidRDefault="00ED32D7" w:rsidP="00ED32D7">
      <w:pPr>
        <w:spacing w:after="0" w:line="240" w:lineRule="auto"/>
        <w:jc w:val="both"/>
        <w:rPr>
          <w:rFonts w:eastAsia="Times New Roman" w:cs="Arial"/>
          <w:i/>
          <w:iCs/>
          <w:color w:val="000000"/>
          <w:lang w:eastAsia="nl-BE"/>
        </w:rPr>
      </w:pPr>
      <w:r w:rsidRPr="00ED32D7">
        <w:rPr>
          <w:rFonts w:eastAsia="Times New Roman" w:cs="Arial"/>
          <w:i/>
          <w:iCs/>
          <w:color w:val="000000"/>
          <w:lang w:val="fr-BE" w:eastAsia="nl-BE"/>
        </w:rPr>
        <w:t>L'incident est clos.</w:t>
      </w:r>
    </w:p>
    <w:p w14:paraId="24C76C15" w14:textId="77777777" w:rsidR="00AF7E11" w:rsidRPr="00F60AB9" w:rsidRDefault="00AF7E11"/>
    <w:sectPr w:rsidR="00AF7E11" w:rsidRPr="00F60A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2D7"/>
    <w:rsid w:val="000A5B4D"/>
    <w:rsid w:val="002408AE"/>
    <w:rsid w:val="00AF7E11"/>
    <w:rsid w:val="00ED32D7"/>
    <w:rsid w:val="00F60AB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30C5"/>
  <w15:chartTrackingRefBased/>
  <w15:docId w15:val="{CB9430C9-1872-4152-91F1-C714CA4B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1965</Words>
  <Characters>10808</Characters>
  <Application>Microsoft Office Word</Application>
  <DocSecurity>0</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Mathieu Rutten</dc:creator>
  <cp:keywords/>
  <dc:description/>
  <cp:lastModifiedBy>Weerepas, Marjon (BELASTR)</cp:lastModifiedBy>
  <cp:revision>2</cp:revision>
  <dcterms:created xsi:type="dcterms:W3CDTF">2021-09-25T09:38:00Z</dcterms:created>
  <dcterms:modified xsi:type="dcterms:W3CDTF">2021-09-25T09:38:00Z</dcterms:modified>
</cp:coreProperties>
</file>